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1) Уточнены порядок включения в страховой стаж периодов ухода за детьми до 1,5 лет, а также правила исчисления «сельского» стажа, дающего право на повышение фиксированной выплаты к страховой пенсии</w:t>
      </w:r>
    </w:p>
    <w:p w14:paraId="04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Согласно внесенным поправкам в страховой стаж одному из родителей засчитываются периоды ухода за каждым ребенком до 1,5 лет, без верхнего ограничения, предусмотренного ранее (не более 6 лет в общей сложности). Кроме того, в случае многоплодной беременности периоды ухода одного из родителей за каждым ребенком до 1,5 лет теперь должны суммироваться с учетом их фактической продолжительности.</w:t>
      </w:r>
    </w:p>
    <w:p w14:paraId="05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Также внесены уточнения в правила исчисления периодов работы в сельском хозяйстве, дающей право на надбавку к фиксированной выплате при назначении пенсии (исключено условие о том, что надбавка устанавливается только на период проживания в сельской местности, а также исключено ограничение «не более 6 лет» в части периодов ухода за детьми).</w:t>
      </w:r>
    </w:p>
    <w:p w14:paraId="06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Действие постановления распространяется на правоотношения, возникшие с 01.01.2026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2)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Минпросвещения представлен примерный перечень должностей учителей, при замещении которых осуществляются единовременные компенсационные выплаты в рамках программы «Земский учитель»</w:t>
      </w:r>
      <w:r>
        <w:rPr>
          <w:rFonts w:ascii="Times New Roman" w:hAnsi="Times New Roman"/>
          <w:sz w:val="24"/>
        </w:rPr>
        <w:br/>
      </w: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перечень включены, в частности, следующие должности: учитель русского языка, учитель географии, учитель иностранных языков, учитель физической культуры, учитель музыки и пения, учитель-логопед, учитель черчения, учитель информатики, учитель-дефектолог и др.</w:t>
      </w: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Письмо </w:t>
      </w:r>
      <w:r>
        <w:rPr>
          <w:rFonts w:ascii="Times New Roman" w:hAnsi="Times New Roman"/>
          <w:sz w:val="24"/>
        </w:rPr>
        <w:t xml:space="preserve">Минпросвещения России от 29.12.2025 № ОК-3828/08 </w:t>
      </w:r>
      <w:r>
        <w:rPr>
          <w:rFonts w:ascii="Times New Roman" w:hAnsi="Times New Roman"/>
          <w:sz w:val="24"/>
        </w:rPr>
        <w:t>«О направлении примерного перечня».</w:t>
      </w:r>
    </w:p>
    <w:p w14:paraId="0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3)</w:t>
      </w:r>
      <w:r>
        <w:rPr>
          <w:rFonts w:ascii="Times New Roman" w:hAnsi="Times New Roman"/>
          <w:b w:val="1"/>
          <w:sz w:val="24"/>
        </w:rPr>
        <w:t>Минстрой: действующим законодательством не предусматривается порядок созыва и проведения общего собрания собственников помещений в нежилом здании, а также не определено, какие вопросы можно решать на собрании</w:t>
      </w:r>
    </w:p>
    <w:p w14:paraId="0E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Собственники помещений могут сами утвердить этот порядок на общем собрании. Определить порядок созыва и проведения такого собрания можно, применяя общие нормы ГК РФ, устанавливающие порядок проведения собраний членов гражданско-правовых сообществ.</w:t>
      </w:r>
    </w:p>
    <w:p w14:paraId="0F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Согласно пункту 1 Постановления Пленума Высшего арбитражного суда РФ № 64 от 23 июля 2009 года «О некоторых вопросах практики рассмотрения споров о правах собственников помещений на общее имущество здания» отношения собственников помещений, расположенных в нежилом здании, возникающие по поводу общего имущества в таком здании, прямо законом не урегулированы. Поэтому в соответствии с пунктом 1 статьи 6 ГК РФ к отношениям собственников помещений, расположенных в нежилом здании, возникающим по поводу общего имущества в таком здании, подлежат применению нормы законодательства, регулирующие сходные</w:t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Письмо Минстроя России от 08.12.2025 № 34641-ОГ/00 </w:t>
      </w:r>
      <w:r>
        <w:rPr>
          <w:rFonts w:ascii="Times New Roman" w:hAnsi="Times New Roman"/>
          <w:sz w:val="24"/>
        </w:rPr>
        <w:t>«О порядке созыва и проведения общего собрания собственников помещений в нежилом здании»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4)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Рассмотрен вопрос об оплате электроэнергии в случае выхода индивидуального прибора учета из строя или в случае непредставления показаний такого прибора</w:t>
      </w:r>
      <w:r>
        <w:rPr>
          <w:rFonts w:ascii="Times New Roman" w:hAnsi="Times New Roman"/>
          <w:sz w:val="24"/>
        </w:rPr>
        <w:br/>
      </w: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Сообщается, что с 1 июля 2020 года расчет размера платы за коммунальную услугу электроснабжения определяется исходя из рассчитанного среднемесячного объема потребления электрической энергии потребителем, определенного по показаниям индивидуального или общего (квартирного) прибора учета (далее - ИПУ), в случае выхода из строя или утраты ранее введенного в эксплуатацию ИПУ либо в случае непредставления показаний такого ИПУ за расчетный период в сроки, установленные Правилами предоставления коммунальных услуг собственникам и пользователям помещений в многоквартирных домах и жилых домов. При этом если указанные события наступили после 1 июля 2020 года, то порядок расчета, утвержденный подпунктом «г» пункта 59 указанных Правил, применяется с даты, когда наступили такие события, до даты, когда был возобновлен учет коммунального ресурса по показаниям ИПУ.</w:t>
      </w:r>
    </w:p>
    <w:p w14:paraId="14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случае выхода ИПУ электрической энергии из строя либо непредставления показаний ИПУ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услуги, определенного в установленном Правилами порядке, а при невозможности его определения, в том числе по причине отсутствия данных о потреблении, - исходя из норматива потребления соответствующей коммунальной услуги.</w:t>
      </w: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trike w:val="0"/>
          <w:color w:val="000000"/>
          <w:sz w:val="24"/>
          <w:u w:color="000000" w:val="none"/>
        </w:rPr>
        <w:t>Письмо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Минстроя России от 25.12.2025 № 80978-ДН/04 </w:t>
      </w:r>
      <w:r>
        <w:rPr>
          <w:rFonts w:ascii="Times New Roman" w:hAnsi="Times New Roman"/>
          <w:sz w:val="24"/>
        </w:rPr>
        <w:t>«Об оплате электроэнергии в случае выхода индивидуального прибора учета из строя или в случае непредставления показаний такого прибора».</w:t>
      </w: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5)</w:t>
      </w:r>
      <w:r>
        <w:rPr>
          <w:rFonts w:ascii="Times New Roman" w:hAnsi="Times New Roman"/>
          <w:b w:val="1"/>
          <w:sz w:val="24"/>
        </w:rPr>
        <w:t>Опубликованы единые рекомендации по установлению систем оплаты труда работников государственных и муниципальных учреждений на 2026 год</w:t>
      </w:r>
    </w:p>
    <w:p w14:paraId="19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Рекомендации учитываются Правительством РФ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бюджетной сферы.</w:t>
      </w:r>
    </w:p>
    <w:p w14:paraId="1A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Основные отличия от рекомендаций на 2025 год заключаются в следующем, в частности: уточнены перечни видов выплат компенсационного и стимулирующего характера и условия их применения; введены положения о порядке осуществления выплат за наставничество; установлены особенности, касающиеся систем оплаты труда учителей, врачей, работников культуры и социальной защиты; установлены особенности системы оплаты труда работников дорожного хозяйства.</w:t>
      </w:r>
    </w:p>
    <w:p w14:paraId="1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trike w:val="0"/>
          <w:color w:val="000000"/>
          <w:sz w:val="24"/>
          <w:u w:color="000000" w:val="none"/>
        </w:rPr>
        <w:t>«Единые</w:t>
      </w:r>
      <w:r>
        <w:rPr>
          <w:rFonts w:ascii="Times New Roman" w:hAnsi="Times New Roman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color w:val="000000"/>
          <w:sz w:val="24"/>
          <w:u w:val="none"/>
        </w:rPr>
        <w:t>рекоменда</w:t>
      </w:r>
      <w:r>
        <w:rPr>
          <w:rFonts w:ascii="Times New Roman" w:hAnsi="Times New Roman"/>
          <w:sz w:val="24"/>
        </w:rPr>
        <w:t xml:space="preserve">ции по установлению на федеральном, региональном и местном уровнях систем оплаты труда работников государственных и муниципальных учреждений на 2026 год» </w:t>
      </w:r>
      <w:r>
        <w:rPr>
          <w:rFonts w:ascii="Times New Roman" w:hAnsi="Times New Roman"/>
          <w:sz w:val="24"/>
        </w:rPr>
        <w:t>(утв. решением Российской трехсторонней комиссии по регулированию социально-трудовых отношений от 26.12.2025, протокол № 11пр)</w:t>
      </w:r>
    </w:p>
    <w:p w14:paraId="1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D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 xml:space="preserve"> 6)</w:t>
      </w:r>
      <w:r>
        <w:rPr>
          <w:rFonts w:ascii="Times New Roman" w:hAnsi="Times New Roman"/>
          <w:b w:val="1"/>
          <w:sz w:val="24"/>
        </w:rPr>
        <w:t>Увеличены размеры административных штрафов за нарушение требований к перевозке детей, установленных Правилами дорожного движения, налагаемых на водителя, на должностных лиц и на юридических лиц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</w:t>
      </w:r>
    </w:p>
    <w:p w14:paraId="1E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Так, размер административного штрафа налагаемый на водителя увеличен с 3 тыс. руб. до 5 тыс. руб. </w:t>
      </w:r>
      <w:r>
        <w:rPr>
          <w:rFonts w:ascii="Times New Roman" w:hAnsi="Times New Roman"/>
          <w:b w:val="0"/>
          <w:sz w:val="24"/>
        </w:rPr>
        <w:t>на должностных лиц с 25 тыс. руб. до 50 тыс. руб., на юридических лиц со 100 тыс. руб. до 200 тыс. руб.</w:t>
      </w: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Также определено, что физические лица, применяющие специальный налоговый режим «Налог на профессиональный доход», совершившие указанное административное правонарушение, несут административную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>Федеральный</w:t>
      </w:r>
      <w:r>
        <w:rPr>
          <w:rFonts w:ascii="Times New Roman" w:hAnsi="Times New Roman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strike w:val="0"/>
          <w:color w:val="000000"/>
          <w:sz w:val="24"/>
          <w:u w:color="000000" w:val="none"/>
        </w:rPr>
        <w:t>закон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29.12.2025 № 525-ФЗ </w:t>
      </w:r>
      <w:r>
        <w:rPr>
          <w:rFonts w:ascii="Times New Roman" w:hAnsi="Times New Roman"/>
          <w:sz w:val="24"/>
        </w:rPr>
        <w:t>«О внесении изменений в статью 12.23 Кодекса Российской Федерации об административных правонарушениях»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7)</w:t>
      </w:r>
      <w:r>
        <w:rPr>
          <w:rFonts w:ascii="Times New Roman" w:hAnsi="Times New Roman"/>
          <w:b w:val="1"/>
          <w:sz w:val="24"/>
        </w:rPr>
        <w:t>Минстрой России изложил позицию по вопросу о переустройстве и (или) перепланировке жилого помещения в МКД</w:t>
      </w:r>
    </w:p>
    <w:p w14:paraId="24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Отмечается, что:</w:t>
      </w:r>
    </w:p>
    <w:p w14:paraId="25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перепланировка влечет за собой необходимость внесения изменений в сведения ЕГРН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помещения;</w:t>
      </w:r>
    </w:p>
    <w:p w14:paraId="26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переустройство либо перепланировка жилых помещений осуществляется по согласованию с органом местного самоуправления, на территории которого находится жилое помещение;</w:t>
      </w:r>
    </w:p>
    <w:p w14:paraId="27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несущие и ограждающие конструкции жилого помещения, в том числе входящие в состав общего имущества собственников помещений в МКД, должны находиться в работоспособном состоянии, при котором возникшие в ходе эксплуатации нарушения в части деформативности (а в железобетонных конструкциях - в части трещиностойкости) не приводят к нарушению работоспособности и несущей способности конструкций, надежности жилого дома и обеспечивают безопасное пребывание граждан и сохранность инженерного оборудования.</w:t>
      </w:r>
    </w:p>
    <w:p w14:paraId="28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Приведен перечень нормативных правовых актов, требования которых необходимо учитывать при перепланировке и (или) переустройстве помещений.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trike w:val="0"/>
          <w:color w:val="000000"/>
          <w:sz w:val="22"/>
          <w:u w:color="000000" w:val="none"/>
        </w:rPr>
        <w:t>Письмо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Минстроя России от 25.11.2025 № 33023-ОГ/00 </w:t>
      </w:r>
      <w:r>
        <w:rPr>
          <w:rFonts w:ascii="Times New Roman" w:hAnsi="Times New Roman"/>
          <w:sz w:val="24"/>
        </w:rPr>
        <w:t>«По вопросу о перепланировке жилого помещения»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8)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Периоды пребывания в добровольческих формированиях подлежат включению в выслугу лет для назначения военной пенсии</w:t>
      </w:r>
    </w:p>
    <w:p w14:paraId="2C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Право на пенсию за выслугу лет предоставлено лицам, имевшим на день увольнения выслугу на военной службе и (или) на службе в соответствующих правоохранительных органах менее 20 лет, при достижении ими с учетом периодов пребывания в добровольческих формированиях выслуги 20 лет и более.</w:t>
      </w:r>
    </w:p>
    <w:p w14:paraId="2D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Периоды пребывания граждан в добровольческих формированиях засчитываются в выслугу лет из расчета два дня пребывания в добровольческом формировании за один день службы.</w:t>
      </w:r>
    </w:p>
    <w:p w14:paraId="2E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Время выполнения задач в составе добровольческих формирований в особых условиях подлежит зачету в выслугу лет для назначения военной пенсии в льготном исчислении.</w:t>
      </w:r>
    </w:p>
    <w:p w14:paraId="2F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Федеральный закон вступил в силу с 1 января 2026 года.</w:t>
      </w:r>
    </w:p>
    <w:p w14:paraId="30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3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</w:t>
      </w:r>
      <w:r>
        <w:rPr>
          <w:rFonts w:ascii="Times New Roman" w:hAnsi="Times New Roman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strike w:val="0"/>
          <w:color w:val="000000"/>
          <w:sz w:val="24"/>
          <w:u w:color="000000" w:val="none"/>
        </w:rPr>
        <w:t>закон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28.12.2025 № 499-ФЗ «</w:t>
      </w:r>
      <w:r>
        <w:rPr>
          <w:rFonts w:ascii="Times New Roman" w:hAnsi="Times New Roman"/>
          <w:sz w:val="24"/>
        </w:rPr>
        <w:t>О внесении изменений в Закон Российской Федерации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</w:t>
      </w:r>
    </w:p>
    <w:p w14:paraId="3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9)</w:t>
      </w:r>
      <w:r>
        <w:rPr>
          <w:rFonts w:ascii="Times New Roman" w:hAnsi="Times New Roman"/>
          <w:b w:val="1"/>
          <w:sz w:val="24"/>
        </w:rPr>
        <w:t>Определены правила обращения граждан РФ, имеющих двух и более детей, за назначением ежегодной семейной выплаты</w:t>
      </w:r>
      <w:r>
        <w:rPr>
          <w:rFonts w:ascii="Times New Roman" w:hAnsi="Times New Roman"/>
          <w:sz w:val="24"/>
        </w:rPr>
        <w:br/>
      </w:r>
    </w:p>
    <w:p w14:paraId="34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Право на получение выплаты предоставляется работающим родителям (усыновителям, опекунам, попечителям), являющимся гражданами РФ, постоянно проживающим на территории РФ, являющимся налоговыми резидентами РФ, при условии:</w:t>
      </w:r>
    </w:p>
    <w:p w14:paraId="35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 доходов от трудовой деятельности заявителя за год, предшествующий обращению, уплачен НДФЛ;</w:t>
      </w:r>
    </w:p>
    <w:p w14:paraId="36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среднедушевой доход не превышает 1,5-кратную величину прожиточного минимума на душу населения, установленную в регионе проживания на год, предшествующий году обращения.</w:t>
      </w:r>
    </w:p>
    <w:p w14:paraId="37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Ежегодная семейная выплата осуществляется каждому из родителей (усыновителей, опекунов, попечителей) детей в возрасте до 18 лет и детей в возрасте до 23 лет, обучающихся по очной форме обучения (за исключением обучающихся по дополнительным образовательным программам), при отсутствии задолженности по уплате алиментов.</w:t>
      </w:r>
    </w:p>
    <w:p w14:paraId="38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Выплата осуществляется в размере, определяемом территориальным органом СФР, в виде разницы между суммой уплаченного за предыдущий год НДФЛ с доходов заявителя, и суммой, исчисленной с того же дохода в размере 6 процентов.</w:t>
      </w:r>
    </w:p>
    <w:p w14:paraId="3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trike w:val="0"/>
          <w:color w:val="000000"/>
          <w:sz w:val="24"/>
          <w:u w:color="000000" w:val="none"/>
        </w:rPr>
        <w:t>Постановление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Правительства РФ от 27.12.2025 № 2173 </w:t>
      </w:r>
      <w:r>
        <w:rPr>
          <w:rFonts w:ascii="Times New Roman" w:hAnsi="Times New Roman"/>
          <w:sz w:val="24"/>
        </w:rPr>
        <w:t>«Об осуществлении ежегодной семейной выплаты гражданам Российской Федерации, имеющим 2 и более детей».</w:t>
      </w:r>
    </w:p>
    <w:p w14:paraId="3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C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10)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 1 сентября 2026 года вступает в силу закон о запрете продажи табака и вейпов на остановках общественного транспорта</w:t>
      </w:r>
    </w:p>
    <w:p w14:paraId="3D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Запрещается розничная торговля табачной или никотинсодержащей продукцией, кальянами, устройствами для потребления никотинсодержащей продукции на остановочных пунктах движения всех видов общественного транспорта (транспорта общего пользования) городского и пригородного сообщения.</w:t>
      </w:r>
    </w:p>
    <w:p w14:paraId="3E000000">
      <w:pPr>
        <w:widowControl w:val="1"/>
        <w:spacing w:after="0" w:before="168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Исключением является случай, когда торговый объект, размещенный на таком остановочном пункте, является единственным в населенном пункте местом продажи табачной продукции или никотинсодержащей продукции, кальянов, устройств для потребления никотинсодержащей продукции.</w:t>
      </w:r>
    </w:p>
    <w:p w14:paraId="3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</w:t>
      </w:r>
      <w:r>
        <w:rPr>
          <w:rFonts w:ascii="Times New Roman" w:hAnsi="Times New Roman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strike w:val="0"/>
          <w:color w:val="000000"/>
          <w:sz w:val="24"/>
          <w:u w:color="000000" w:val="none"/>
        </w:rPr>
        <w:t>закон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29.12.2025 № 551-ФЗ </w:t>
      </w:r>
      <w:r>
        <w:rPr>
          <w:rFonts w:ascii="Times New Roman" w:hAnsi="Times New Roman"/>
          <w:sz w:val="24"/>
        </w:rPr>
        <w:t>«О внесении изменения в статью 19 Федерального закона «Об охране здоровья граждан от воздействия окружающего табачного дыма, последствий потребления табака или потребления никотинсодержащей продукции».</w:t>
      </w:r>
    </w:p>
    <w:p w14:paraId="41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2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3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4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5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6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7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0"/>
        </w:rPr>
      </w:pPr>
    </w:p>
    <w:p w14:paraId="48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9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0"/>
        </w:rPr>
      </w:pPr>
    </w:p>
    <w:p w14:paraId="4B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C000000">
      <w:pPr>
        <w:widowControl w:val="1"/>
        <w:spacing w:after="0" w:line="240" w:lineRule="exact"/>
        <w:ind/>
        <w:jc w:val="both"/>
        <w:rPr>
          <w:sz w:val="21"/>
        </w:rPr>
      </w:pPr>
    </w:p>
    <w:p w14:paraId="4D000000">
      <w:pPr>
        <w:widowControl w:val="1"/>
        <w:spacing w:after="0" w:line="240" w:lineRule="exact"/>
        <w:ind/>
        <w:jc w:val="both"/>
        <w:rPr>
          <w:sz w:val="21"/>
        </w:rPr>
      </w:pPr>
    </w:p>
    <w:sectPr>
      <w:headerReference r:id="rId1" w:type="default"/>
      <w:pgSz w:h="16838" w:orient="portrait" w:w="11906"/>
      <w:pgMar w:bottom="907" w:footer="709" w:gutter="0" w:header="709" w:left="1701" w:right="851" w:top="90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4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2024-06-08T07:13:00Z</dcterms:created>
  <dcterms:modified xsi:type="dcterms:W3CDTF">2026-03-27T07:59:49Z</dcterms:modified>
</cp:coreProperties>
</file>