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2"/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443" cy="74954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18520" t="24634" r="12819" b="33795"/>
                        <a:stretch/>
                      </pic:blipFill>
                      <pic:spPr bwMode="auto">
                        <a:xfrm>
                          <a:off x="0" y="0"/>
                          <a:ext cx="1743443" cy="74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28pt;height:59.02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РОСРЕЕСТР РАЗЪЯСНЯЕТ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632"/>
        <w:jc w:val="right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6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sz w:val="28"/>
          <w:szCs w:val="28"/>
        </w:rPr>
        <w:t xml:space="preserve">отариально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 удостоверени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договора дарения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- мера защиты имущественных прав дарителей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2"/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13 января 2025 года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договор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дарения недвижимости между </w:t>
      </w:r>
      <w:r>
        <w:rPr>
          <w:rFonts w:ascii="Times New Roman" w:hAnsi="Times New Roman" w:cs="Times New Roman"/>
          <w:sz w:val="28"/>
          <w:szCs w:val="28"/>
        </w:rPr>
        <w:t xml:space="preserve">гражданами</w:t>
      </w:r>
      <w:r>
        <w:rPr>
          <w:rFonts w:ascii="Times New Roman" w:hAnsi="Times New Roman" w:cs="Times New Roman"/>
          <w:sz w:val="28"/>
          <w:szCs w:val="28"/>
        </w:rPr>
        <w:t xml:space="preserve"> должен удостоверять нотариус.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арени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связан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с определенными рисками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так как</w:t>
      </w:r>
      <w:r>
        <w:rPr>
          <w:rFonts w:ascii="Times New Roman" w:hAnsi="Times New Roman" w:cs="Times New Roman"/>
          <w:sz w:val="28"/>
          <w:szCs w:val="28"/>
        </w:rPr>
        <w:t xml:space="preserve"> на практике </w:t>
      </w:r>
      <w:r>
        <w:rPr>
          <w:rFonts w:ascii="Times New Roman" w:hAnsi="Times New Roman" w:cs="Times New Roman"/>
          <w:sz w:val="28"/>
          <w:szCs w:val="28"/>
        </w:rPr>
        <w:t xml:space="preserve">такие сделки </w:t>
      </w:r>
      <w:r>
        <w:rPr>
          <w:rFonts w:ascii="Times New Roman" w:hAnsi="Times New Roman" w:cs="Times New Roman"/>
          <w:sz w:val="28"/>
          <w:szCs w:val="28"/>
        </w:rPr>
        <w:t xml:space="preserve">нередко </w:t>
      </w:r>
      <w:r>
        <w:rPr>
          <w:rFonts w:ascii="Times New Roman" w:hAnsi="Times New Roman" w:cs="Times New Roman"/>
          <w:sz w:val="28"/>
          <w:szCs w:val="28"/>
        </w:rPr>
        <w:t xml:space="preserve">заключаются</w:t>
      </w:r>
      <w:r>
        <w:rPr>
          <w:rFonts w:ascii="Times New Roman" w:hAnsi="Times New Roman" w:cs="Times New Roman"/>
          <w:sz w:val="28"/>
          <w:szCs w:val="28"/>
        </w:rPr>
        <w:t xml:space="preserve"> вследствие заблуждени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дарител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относительно природы сделки, сопровождаются злоупотреблением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 стороны одаряемых, особенно когда на стороне дарителя выступают представители социаль</w:t>
      </w:r>
      <w:r>
        <w:rPr>
          <w:rFonts w:ascii="Times New Roman" w:hAnsi="Times New Roman" w:cs="Times New Roman"/>
          <w:sz w:val="28"/>
          <w:szCs w:val="28"/>
        </w:rPr>
        <w:t xml:space="preserve">но незащищенных слоев населения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отариальное удостоверение договоров дарения </w:t>
      </w:r>
      <w:r>
        <w:rPr>
          <w:rFonts w:ascii="Times New Roman" w:hAnsi="Times New Roman" w:cs="Times New Roman"/>
          <w:sz w:val="28"/>
          <w:szCs w:val="28"/>
        </w:rPr>
        <w:t xml:space="preserve">позволит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защиту</w:t>
      </w:r>
      <w:r>
        <w:rPr>
          <w:rFonts w:ascii="Times New Roman" w:hAnsi="Times New Roman" w:cs="Times New Roman"/>
          <w:sz w:val="28"/>
          <w:szCs w:val="28"/>
        </w:rPr>
        <w:t xml:space="preserve"> имущественных прав граждан</w:t>
      </w:r>
      <w:r>
        <w:rPr>
          <w:rFonts w:ascii="Times New Roman" w:hAnsi="Times New Roman" w:cs="Times New Roman"/>
          <w:sz w:val="28"/>
          <w:szCs w:val="28"/>
        </w:rPr>
        <w:t xml:space="preserve">. Н</w:t>
      </w:r>
      <w:r>
        <w:rPr>
          <w:rFonts w:ascii="Times New Roman" w:hAnsi="Times New Roman" w:cs="Times New Roman"/>
          <w:sz w:val="28"/>
          <w:szCs w:val="28"/>
        </w:rPr>
        <w:t xml:space="preserve">отариус</w:t>
      </w:r>
      <w:r>
        <w:rPr>
          <w:rFonts w:ascii="Times New Roman" w:hAnsi="Times New Roman" w:cs="Times New Roman"/>
          <w:sz w:val="28"/>
          <w:szCs w:val="28"/>
        </w:rPr>
        <w:t xml:space="preserve"> перед удостоверением сделки </w:t>
      </w:r>
      <w:r>
        <w:rPr>
          <w:rFonts w:ascii="Times New Roman" w:hAnsi="Times New Roman" w:cs="Times New Roman"/>
          <w:sz w:val="28"/>
          <w:szCs w:val="28"/>
        </w:rPr>
        <w:t xml:space="preserve">разъясн</w:t>
      </w:r>
      <w:r>
        <w:rPr>
          <w:rFonts w:ascii="Times New Roman" w:hAnsi="Times New Roman" w:cs="Times New Roman"/>
          <w:sz w:val="28"/>
          <w:szCs w:val="28"/>
        </w:rPr>
        <w:t xml:space="preserve">ит</w:t>
      </w:r>
      <w:r>
        <w:rPr>
          <w:rFonts w:ascii="Times New Roman" w:hAnsi="Times New Roman" w:cs="Times New Roman"/>
          <w:sz w:val="28"/>
          <w:szCs w:val="28"/>
        </w:rPr>
        <w:t xml:space="preserve"> сторонам смысл и значение заключаемо</w:t>
      </w:r>
      <w:r>
        <w:rPr>
          <w:rFonts w:ascii="Times New Roman" w:hAnsi="Times New Roman" w:cs="Times New Roman"/>
          <w:sz w:val="28"/>
          <w:szCs w:val="28"/>
        </w:rPr>
        <w:t xml:space="preserve">го договора</w:t>
      </w:r>
      <w:r>
        <w:rPr>
          <w:rFonts w:ascii="Times New Roman" w:hAnsi="Times New Roman" w:cs="Times New Roman"/>
          <w:sz w:val="28"/>
          <w:szCs w:val="28"/>
        </w:rPr>
        <w:t xml:space="preserve">, провер</w:t>
      </w:r>
      <w:r>
        <w:rPr>
          <w:rFonts w:ascii="Times New Roman" w:hAnsi="Times New Roman" w:cs="Times New Roman"/>
          <w:sz w:val="28"/>
          <w:szCs w:val="28"/>
        </w:rPr>
        <w:t xml:space="preserve">ит</w:t>
      </w:r>
      <w:r>
        <w:rPr>
          <w:rFonts w:ascii="Times New Roman" w:hAnsi="Times New Roman" w:cs="Times New Roman"/>
          <w:sz w:val="28"/>
          <w:szCs w:val="28"/>
        </w:rPr>
        <w:t xml:space="preserve"> соответств</w:t>
      </w:r>
      <w:r>
        <w:rPr>
          <w:rFonts w:ascii="Times New Roman" w:hAnsi="Times New Roman" w:cs="Times New Roman"/>
          <w:sz w:val="28"/>
          <w:szCs w:val="28"/>
        </w:rPr>
        <w:t xml:space="preserve">ие</w:t>
      </w:r>
      <w:r>
        <w:rPr>
          <w:rFonts w:ascii="Times New Roman" w:hAnsi="Times New Roman" w:cs="Times New Roman"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сделки действительным намерениям сторон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удостоверения договора по желанию дарителя и одаряемого нотариус может самостоятельно направить документы в </w:t>
      </w:r>
      <w:r>
        <w:rPr>
          <w:rFonts w:ascii="Times New Roman" w:hAnsi="Times New Roman" w:cs="Times New Roman"/>
          <w:sz w:val="28"/>
          <w:szCs w:val="28"/>
        </w:rPr>
        <w:t xml:space="preserve">Росреестр</w:t>
      </w:r>
      <w:r>
        <w:rPr>
          <w:rFonts w:ascii="Times New Roman" w:hAnsi="Times New Roman" w:cs="Times New Roman"/>
          <w:sz w:val="28"/>
          <w:szCs w:val="28"/>
        </w:rPr>
        <w:t xml:space="preserve"> для регистрации.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 поступят в электронном виде и будут рассмотрены в сокращенный срок. Гражданам не нужно дополнительно посещать офис МФЦ - результат оказания услуги в виде выписки о проведенной регистрации недвижимости можно получить у нотариуса.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0,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632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</w:p>
    <w:p>
      <w:pPr>
        <w:pStyle w:val="632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632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32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32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641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641"/>
          <w:rFonts w:ascii="Segoe UI" w:hAnsi="Segoe UI" w:cs="Segoe UI"/>
          <w:sz w:val="18"/>
          <w:szCs w:val="20"/>
        </w:rPr>
        <w:t xml:space="preserve">54</w:t>
      </w:r>
      <w:r>
        <w:rPr>
          <w:rStyle w:val="641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641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632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641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641"/>
          <w:rFonts w:ascii="Segoe UI" w:hAnsi="Segoe UI" w:cs="Segoe UI"/>
          <w:sz w:val="18"/>
          <w:szCs w:val="18"/>
        </w:rPr>
        <w:fldChar w:fldCharType="end"/>
      </w:r>
      <w:r>
        <w:rPr>
          <w:rStyle w:val="641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641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641"/>
          <w:rFonts w:ascii="Segoe UI" w:hAnsi="Segoe UI" w:cs="Segoe UI"/>
          <w:sz w:val="20"/>
          <w:szCs w:val="20"/>
        </w:rPr>
        <w:t xml:space="preserve">.</w:t>
      </w:r>
      <w:r>
        <w:rPr>
          <w:rStyle w:val="641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641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641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641"/>
          <w:rFonts w:ascii="Segoe UI" w:hAnsi="Segoe UI" w:cs="Segoe UI"/>
          <w:sz w:val="20"/>
        </w:rPr>
        <w:t xml:space="preserve">Телеграм</w:t>
      </w:r>
      <w:r>
        <w:rPr>
          <w:rStyle w:val="641"/>
          <w:rFonts w:ascii="Segoe UI" w:hAnsi="Segoe UI" w:cs="Segoe UI"/>
          <w:sz w:val="20"/>
        </w:rPr>
        <w:fldChar w:fldCharType="end"/>
      </w:r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2"/>
    <w:next w:val="6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2"/>
    <w:next w:val="6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2"/>
    <w:next w:val="6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2"/>
    <w:next w:val="6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2"/>
    <w:next w:val="6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2"/>
    <w:next w:val="6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2"/>
    <w:next w:val="6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2"/>
    <w:next w:val="6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2"/>
    <w:next w:val="6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2"/>
    <w:next w:val="6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next w:val="632"/>
    <w:link w:val="632"/>
    <w:qFormat/>
    <w:rPr>
      <w:sz w:val="24"/>
      <w:szCs w:val="24"/>
      <w:lang w:val="ru-RU" w:eastAsia="ru-RU" w:bidi="ar-SA"/>
    </w:rPr>
  </w:style>
  <w:style w:type="paragraph" w:styleId="633">
    <w:name w:val="Заголовок 3"/>
    <w:basedOn w:val="632"/>
    <w:next w:val="633"/>
    <w:link w:val="632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634">
    <w:name w:val="Основной шрифт абзаца"/>
    <w:next w:val="634"/>
    <w:link w:val="632"/>
    <w:semiHidden/>
  </w:style>
  <w:style w:type="table" w:styleId="635">
    <w:name w:val="Обычная таблица"/>
    <w:next w:val="635"/>
    <w:link w:val="632"/>
    <w:semiHidden/>
    <w:tblPr/>
  </w:style>
  <w:style w:type="numbering" w:styleId="636">
    <w:name w:val="Нет списка"/>
    <w:next w:val="636"/>
    <w:link w:val="632"/>
    <w:semiHidden/>
  </w:style>
  <w:style w:type="paragraph" w:styleId="637">
    <w:name w:val="Текст выноски"/>
    <w:basedOn w:val="632"/>
    <w:next w:val="637"/>
    <w:link w:val="632"/>
    <w:semiHidden/>
    <w:rPr>
      <w:rFonts w:ascii="Tahoma" w:hAnsi="Tahoma" w:cs="Tahoma"/>
      <w:sz w:val="16"/>
      <w:szCs w:val="16"/>
    </w:rPr>
  </w:style>
  <w:style w:type="table" w:styleId="638">
    <w:name w:val="Сетка таблицы"/>
    <w:basedOn w:val="635"/>
    <w:next w:val="638"/>
    <w:link w:val="632"/>
    <w:tblPr/>
  </w:style>
  <w:style w:type="paragraph" w:styleId="639">
    <w:name w:val="Основной текст с отступом"/>
    <w:basedOn w:val="632"/>
    <w:next w:val="639"/>
    <w:link w:val="632"/>
    <w:pPr>
      <w:ind w:left="6481"/>
      <w:spacing w:before="2400"/>
    </w:pPr>
    <w:rPr>
      <w:sz w:val="28"/>
      <w:szCs w:val="20"/>
    </w:rPr>
  </w:style>
  <w:style w:type="paragraph" w:styleId="640">
    <w:name w:val="Основной текст"/>
    <w:basedOn w:val="632"/>
    <w:next w:val="640"/>
    <w:link w:val="632"/>
    <w:pPr>
      <w:spacing w:after="120"/>
    </w:pPr>
  </w:style>
  <w:style w:type="character" w:styleId="641">
    <w:name w:val="Гиперссылка"/>
    <w:next w:val="641"/>
    <w:link w:val="632"/>
    <w:rPr>
      <w:color w:val="0000ff"/>
      <w:u w:val="single"/>
    </w:rPr>
  </w:style>
  <w:style w:type="paragraph" w:styleId="642">
    <w:name w:val="Обычный (веб)"/>
    <w:basedOn w:val="632"/>
    <w:next w:val="642"/>
    <w:link w:val="632"/>
    <w:uiPriority w:val="99"/>
    <w:pPr>
      <w:spacing w:before="100" w:beforeAutospacing="1" w:after="100" w:afterAutospacing="1"/>
    </w:pPr>
  </w:style>
  <w:style w:type="character" w:styleId="643">
    <w:name w:val="apple-converted-space"/>
    <w:basedOn w:val="634"/>
    <w:next w:val="643"/>
    <w:link w:val="632"/>
  </w:style>
  <w:style w:type="character" w:styleId="644">
    <w:name w:val="visited"/>
    <w:basedOn w:val="634"/>
    <w:next w:val="644"/>
    <w:link w:val="632"/>
  </w:style>
  <w:style w:type="character" w:styleId="645">
    <w:name w:val="blk"/>
    <w:basedOn w:val="634"/>
    <w:next w:val="645"/>
    <w:link w:val="632"/>
  </w:style>
  <w:style w:type="character" w:styleId="646">
    <w:name w:val="match"/>
    <w:basedOn w:val="634"/>
    <w:next w:val="646"/>
    <w:link w:val="632"/>
  </w:style>
  <w:style w:type="paragraph" w:styleId="647">
    <w:name w:val="formattext topleveltext"/>
    <w:basedOn w:val="632"/>
    <w:next w:val="647"/>
    <w:link w:val="632"/>
    <w:pPr>
      <w:spacing w:before="100" w:beforeAutospacing="1" w:after="100" w:afterAutospacing="1"/>
    </w:pPr>
  </w:style>
  <w:style w:type="paragraph" w:styleId="648">
    <w:name w:val="Основной текст с отступом 2"/>
    <w:basedOn w:val="632"/>
    <w:next w:val="648"/>
    <w:link w:val="632"/>
    <w:pPr>
      <w:ind w:left="283"/>
      <w:spacing w:after="120" w:line="480" w:lineRule="auto"/>
    </w:pPr>
  </w:style>
  <w:style w:type="paragraph" w:styleId="649">
    <w:name w:val="ConsPlusNormal"/>
    <w:next w:val="649"/>
    <w:link w:val="651"/>
    <w:rPr>
      <w:sz w:val="26"/>
      <w:szCs w:val="26"/>
      <w:lang w:val="ru-RU" w:eastAsia="ru-RU" w:bidi="ar-SA"/>
    </w:rPr>
  </w:style>
  <w:style w:type="paragraph" w:styleId="650">
    <w:name w:val="Знак Знак Знак Знак Знак Знак Знак Знак Знак Знак Знак Знак"/>
    <w:basedOn w:val="632"/>
    <w:next w:val="650"/>
    <w:link w:val="632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651">
    <w:name w:val="ConsPlusNormal Знак"/>
    <w:next w:val="651"/>
    <w:link w:val="649"/>
    <w:rPr>
      <w:sz w:val="26"/>
      <w:szCs w:val="26"/>
      <w:lang w:val="ru-RU" w:eastAsia="ru-RU" w:bidi="ar-SA"/>
    </w:rPr>
  </w:style>
  <w:style w:type="paragraph" w:styleId="652">
    <w:name w:val="Название"/>
    <w:basedOn w:val="632"/>
    <w:next w:val="652"/>
    <w:link w:val="653"/>
    <w:qFormat/>
    <w:pPr>
      <w:ind w:firstLine="709"/>
      <w:jc w:val="center"/>
    </w:pPr>
    <w:rPr>
      <w:b/>
      <w:szCs w:val="20"/>
    </w:rPr>
  </w:style>
  <w:style w:type="character" w:styleId="653">
    <w:name w:val="Название Знак"/>
    <w:next w:val="653"/>
    <w:link w:val="652"/>
    <w:rPr>
      <w:b/>
      <w:sz w:val="24"/>
      <w:lang w:val="ru-RU" w:eastAsia="ru-RU" w:bidi="ar-SA"/>
    </w:rPr>
  </w:style>
  <w:style w:type="paragraph" w:styleId="654">
    <w:name w:val="Абзац списка"/>
    <w:basedOn w:val="632"/>
    <w:next w:val="654"/>
    <w:link w:val="632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655">
    <w:name w:val="Строгий"/>
    <w:next w:val="655"/>
    <w:link w:val="632"/>
    <w:uiPriority w:val="22"/>
    <w:qFormat/>
    <w:rPr>
      <w:b/>
      <w:bCs/>
    </w:rPr>
  </w:style>
  <w:style w:type="character" w:styleId="656">
    <w:name w:val="Выделение"/>
    <w:next w:val="656"/>
    <w:link w:val="632"/>
    <w:uiPriority w:val="20"/>
    <w:qFormat/>
    <w:rPr>
      <w:i/>
      <w:iCs/>
    </w:rPr>
  </w:style>
  <w:style w:type="character" w:styleId="921" w:default="1">
    <w:name w:val="Default Paragraph Font"/>
    <w:uiPriority w:val="1"/>
    <w:semiHidden/>
    <w:unhideWhenUsed/>
  </w:style>
  <w:style w:type="numbering" w:styleId="922" w:default="1">
    <w:name w:val="No List"/>
    <w:uiPriority w:val="99"/>
    <w:semiHidden/>
    <w:unhideWhenUsed/>
  </w:style>
  <w:style w:type="table" w:styleId="9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297</cp:revision>
  <dcterms:created xsi:type="dcterms:W3CDTF">2009-04-08T02:19:00Z</dcterms:created>
  <dcterms:modified xsi:type="dcterms:W3CDTF">2025-01-14T02:22:08Z</dcterms:modified>
  <cp:version>917504</cp:version>
</cp:coreProperties>
</file>